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4253"/>
        <w:gridCol w:w="5528"/>
      </w:tblGrid>
      <w:tr w:rsidR="0006181B" w:rsidTr="0006181B">
        <w:trPr>
          <w:trHeight w:val="567"/>
        </w:trPr>
        <w:tc>
          <w:tcPr>
            <w:tcW w:w="4253" w:type="dxa"/>
            <w:hideMark/>
          </w:tcPr>
          <w:p w:rsidR="0006181B" w:rsidRDefault="0006181B">
            <w:pPr>
              <w:ind w:left="-57" w:right="-113"/>
              <w:jc w:val="center"/>
              <w:rPr>
                <w:sz w:val="24"/>
                <w:szCs w:val="24"/>
                <w:lang w:val="de-DE"/>
              </w:rPr>
            </w:pPr>
            <w:r>
              <w:rPr>
                <w:lang w:val="de-DE"/>
              </w:rPr>
              <w:t>BỘ GIÁO DỤC VÀ ĐÀO TẠO</w:t>
            </w:r>
          </w:p>
          <w:p w:rsidR="0006181B" w:rsidRDefault="0006181B">
            <w:pPr>
              <w:keepNext/>
              <w:ind w:left="-57" w:right="-113"/>
              <w:jc w:val="center"/>
              <w:outlineLvl w:val="0"/>
              <w:rPr>
                <w:b/>
                <w:bCs/>
                <w:color w:val="000000"/>
                <w:szCs w:val="26"/>
                <w:lang w:val="de-DE"/>
              </w:rPr>
            </w:pPr>
            <w:r>
              <w:rPr>
                <w:b/>
                <w:bCs/>
                <w:color w:val="000000"/>
                <w:szCs w:val="26"/>
                <w:lang w:val="de-DE"/>
              </w:rPr>
              <w:t>TRƯỜNG ĐHDL PHƯƠNG ĐÔNG</w:t>
            </w:r>
          </w:p>
          <w:p w:rsidR="0006181B" w:rsidRDefault="005877A8">
            <w:pPr>
              <w:ind w:left="-57" w:right="-113"/>
              <w:jc w:val="center"/>
              <w:rPr>
                <w:sz w:val="28"/>
                <w:szCs w:val="28"/>
                <w:lang w:val="de-DE"/>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762635</wp:posOffset>
                      </wp:positionH>
                      <wp:positionV relativeFrom="paragraph">
                        <wp:posOffset>20320</wp:posOffset>
                      </wp:positionV>
                      <wp:extent cx="1211580" cy="0"/>
                      <wp:effectExtent l="10160" t="10795" r="6985" b="8255"/>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pt" to="15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r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"/>
                  </w:pict>
                </mc:Fallback>
              </mc:AlternateContent>
            </w:r>
          </w:p>
        </w:tc>
        <w:tc>
          <w:tcPr>
            <w:tcW w:w="5528" w:type="dxa"/>
            <w:hideMark/>
          </w:tcPr>
          <w:p w:rsidR="0006181B" w:rsidRDefault="0006181B">
            <w:pPr>
              <w:ind w:left="-57" w:right="-113"/>
              <w:jc w:val="center"/>
              <w:rPr>
                <w:b/>
                <w:sz w:val="24"/>
                <w:szCs w:val="24"/>
              </w:rPr>
            </w:pPr>
            <w:r>
              <w:rPr>
                <w:b/>
              </w:rPr>
              <w:t>CỘNG HOÀ XÃ HỘI CHỦ NGHĨA VIỆT NAM</w:t>
            </w:r>
          </w:p>
          <w:p w:rsidR="0006181B" w:rsidRDefault="0006181B">
            <w:pPr>
              <w:ind w:left="-57" w:right="-113"/>
              <w:jc w:val="center"/>
              <w:rPr>
                <w:b/>
                <w:bCs/>
                <w:sz w:val="28"/>
                <w:szCs w:val="28"/>
              </w:rPr>
            </w:pPr>
            <w:r>
              <w:rPr>
                <w:b/>
                <w:bCs/>
                <w:sz w:val="28"/>
                <w:szCs w:val="28"/>
              </w:rPr>
              <w:t>Độc lập - Tự do - Hạnh phúc</w:t>
            </w:r>
          </w:p>
          <w:p w:rsidR="0006181B" w:rsidRDefault="005877A8">
            <w:pPr>
              <w:ind w:left="-57" w:right="-113"/>
              <w:jc w:val="center"/>
              <w:rPr>
                <w:sz w:val="28"/>
                <w:szCs w:val="28"/>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448945</wp:posOffset>
                      </wp:positionH>
                      <wp:positionV relativeFrom="paragraph">
                        <wp:posOffset>26035</wp:posOffset>
                      </wp:positionV>
                      <wp:extent cx="2201545" cy="0"/>
                      <wp:effectExtent l="10795" t="6985" r="6985" b="1206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2.05pt" to="208.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08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"/>
                  </w:pict>
                </mc:Fallback>
              </mc:AlternateContent>
            </w:r>
          </w:p>
        </w:tc>
      </w:tr>
    </w:tbl>
    <w:p w:rsidR="0006181B" w:rsidRDefault="0006181B" w:rsidP="0006181B">
      <w:pPr>
        <w:spacing w:before="120"/>
        <w:jc w:val="center"/>
        <w:rPr>
          <w:b/>
          <w:bCs/>
          <w:sz w:val="28"/>
          <w:szCs w:val="28"/>
        </w:rPr>
      </w:pPr>
    </w:p>
    <w:p w:rsidR="0006181B" w:rsidRDefault="0006181B" w:rsidP="0006181B">
      <w:pPr>
        <w:spacing w:before="120"/>
        <w:jc w:val="center"/>
        <w:rPr>
          <w:b/>
          <w:bCs/>
          <w:sz w:val="30"/>
          <w:szCs w:val="30"/>
        </w:rPr>
      </w:pPr>
      <w:r>
        <w:rPr>
          <w:b/>
          <w:bCs/>
          <w:sz w:val="30"/>
          <w:szCs w:val="30"/>
        </w:rPr>
        <w:t>QUY CHẾ</w:t>
      </w:r>
    </w:p>
    <w:p w:rsidR="0006181B" w:rsidRDefault="0006181B" w:rsidP="0006181B">
      <w:pPr>
        <w:spacing w:before="120"/>
        <w:jc w:val="center"/>
        <w:rPr>
          <w:b/>
          <w:bCs/>
          <w:sz w:val="28"/>
          <w:szCs w:val="28"/>
        </w:rPr>
      </w:pPr>
      <w:r>
        <w:rPr>
          <w:b/>
          <w:bCs/>
          <w:sz w:val="28"/>
          <w:szCs w:val="28"/>
        </w:rPr>
        <w:t>Đào tạo đại học và cao đẳng hệ chính quy theo hệ thống tín chỉ</w:t>
      </w:r>
    </w:p>
    <w:p w:rsidR="0006181B" w:rsidRDefault="0006181B" w:rsidP="0006181B">
      <w:pPr>
        <w:spacing w:before="120"/>
        <w:jc w:val="center"/>
        <w:rPr>
          <w:sz w:val="28"/>
          <w:szCs w:val="28"/>
        </w:rPr>
      </w:pPr>
      <w:r>
        <w:rPr>
          <w:i/>
          <w:iCs/>
          <w:sz w:val="28"/>
          <w:szCs w:val="28"/>
        </w:rPr>
        <w:t>(</w:t>
      </w:r>
      <w:r>
        <w:rPr>
          <w:i/>
          <w:iCs/>
          <w:szCs w:val="26"/>
        </w:rPr>
        <w:t xml:space="preserve">Ban hành kèm theo Quyết định số   143 /QĐ-ĐHPĐ-ĐT ngày  13  tháng 3  năm 2014 của Hiệu trưởng trường Đại học Dân lập Phương Đông </w:t>
      </w:r>
      <w:r>
        <w:rPr>
          <w:i/>
          <w:iCs/>
          <w:sz w:val="28"/>
          <w:szCs w:val="28"/>
        </w:rPr>
        <w:t>)</w:t>
      </w:r>
    </w:p>
    <w:p w:rsidR="0006181B" w:rsidRDefault="005877A8" w:rsidP="0006181B">
      <w:pPr>
        <w:spacing w:before="120"/>
        <w:jc w:val="center"/>
        <w:rPr>
          <w:sz w:val="16"/>
          <w:szCs w:val="16"/>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1962150</wp:posOffset>
                </wp:positionH>
                <wp:positionV relativeFrom="paragraph">
                  <wp:posOffset>44450</wp:posOffset>
                </wp:positionV>
                <wp:extent cx="2134870" cy="0"/>
                <wp:effectExtent l="9525" t="6350" r="825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3.5pt" to="32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cd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"/>
            </w:pict>
          </mc:Fallback>
        </mc:AlternateContent>
      </w:r>
    </w:p>
    <w:p w:rsidR="0006181B" w:rsidRDefault="0006181B" w:rsidP="0006181B">
      <w:pPr>
        <w:spacing w:before="200" w:after="200"/>
        <w:ind w:firstLine="567"/>
        <w:jc w:val="both"/>
        <w:rPr>
          <w:b/>
          <w:sz w:val="28"/>
          <w:szCs w:val="28"/>
        </w:rPr>
      </w:pPr>
      <w:r>
        <w:rPr>
          <w:b/>
          <w:bCs/>
          <w:sz w:val="28"/>
          <w:szCs w:val="28"/>
        </w:rPr>
        <w:t>Điều 22. Cách tính điểm học phần, khiếu nại điểm và bảo lưu kết quả học phần</w:t>
      </w:r>
    </w:p>
    <w:p w:rsidR="0006181B" w:rsidRDefault="0006181B" w:rsidP="0006181B">
      <w:pPr>
        <w:spacing w:before="120"/>
        <w:ind w:firstLine="540"/>
        <w:jc w:val="both"/>
        <w:rPr>
          <w:sz w:val="28"/>
          <w:szCs w:val="28"/>
        </w:rPr>
      </w:pPr>
      <w:r>
        <w:rPr>
          <w:sz w:val="28"/>
          <w:szCs w:val="28"/>
        </w:rPr>
        <w:t>1. Điểm đánh giá bộ phận và điểm thi kết thúc học phần được chấm theo thang điểm 10 (từ 0 đến 10), làm tròn đến một chữ số thập phân.</w:t>
      </w:r>
    </w:p>
    <w:p w:rsidR="0006181B" w:rsidRDefault="0006181B" w:rsidP="0006181B">
      <w:pPr>
        <w:spacing w:before="120"/>
        <w:ind w:firstLine="540"/>
        <w:jc w:val="both"/>
        <w:rPr>
          <w:sz w:val="28"/>
          <w:szCs w:val="28"/>
          <w:lang w:val="it-IT"/>
        </w:rPr>
      </w:pPr>
      <w:r>
        <w:rPr>
          <w:sz w:val="28"/>
          <w:szCs w:val="28"/>
          <w:lang w:val="it-IT"/>
        </w:rPr>
        <w:t xml:space="preserve">2. </w:t>
      </w:r>
      <w:r>
        <w:rPr>
          <w:sz w:val="28"/>
          <w:szCs w:val="28"/>
          <w:lang w:val="it-IT" w:bidi="he-IL"/>
        </w:rPr>
        <w:t xml:space="preserve">Điểm học phần là tổng điểm của tất cả các điểm đánh giá bộ phận của học phần nhân với trọng số tương ứng. Điểm học phần làm tròn đến một chữ số thập phân, sau đó được chuyển thành điểm chữ và điểm 4 như </w:t>
      </w:r>
      <w:r>
        <w:rPr>
          <w:sz w:val="28"/>
          <w:szCs w:val="28"/>
          <w:lang w:val="it-IT"/>
        </w:rPr>
        <w:t xml:space="preserve">Bảng 1: </w:t>
      </w:r>
    </w:p>
    <w:p w:rsidR="0006181B" w:rsidRDefault="0006181B" w:rsidP="0006181B">
      <w:pPr>
        <w:spacing w:before="120" w:after="240"/>
        <w:ind w:firstLine="539"/>
        <w:jc w:val="center"/>
        <w:rPr>
          <w:b/>
          <w:bCs/>
          <w:color w:val="000000"/>
          <w:sz w:val="28"/>
          <w:szCs w:val="28"/>
          <w:lang w:val="it-IT"/>
        </w:rPr>
      </w:pPr>
      <w:r>
        <w:rPr>
          <w:b/>
          <w:bCs/>
          <w:color w:val="000000"/>
          <w:sz w:val="28"/>
          <w:szCs w:val="28"/>
          <w:lang w:val="it-IT"/>
        </w:rPr>
        <w:t>Bảng 1: Thang</w:t>
      </w:r>
      <w:r>
        <w:rPr>
          <w:color w:val="000000"/>
          <w:sz w:val="28"/>
          <w:szCs w:val="28"/>
          <w:lang w:val="it-IT"/>
        </w:rPr>
        <w:t xml:space="preserve"> </w:t>
      </w:r>
      <w:r>
        <w:rPr>
          <w:b/>
          <w:bCs/>
          <w:color w:val="000000"/>
          <w:sz w:val="28"/>
          <w:szCs w:val="28"/>
          <w:lang w:val="it-IT"/>
        </w:rPr>
        <w:t>điểm</w:t>
      </w:r>
      <w:r>
        <w:rPr>
          <w:color w:val="000000"/>
          <w:sz w:val="28"/>
          <w:szCs w:val="28"/>
          <w:lang w:val="it-IT"/>
        </w:rPr>
        <w:t xml:space="preserve"> </w:t>
      </w:r>
      <w:r>
        <w:rPr>
          <w:b/>
          <w:bCs/>
          <w:color w:val="000000"/>
          <w:sz w:val="28"/>
          <w:szCs w:val="28"/>
          <w:lang w:val="it-IT"/>
        </w:rPr>
        <w:t>đánh giá kết quả học tập</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038"/>
        <w:gridCol w:w="1647"/>
        <w:gridCol w:w="1559"/>
        <w:gridCol w:w="2268"/>
      </w:tblGrid>
      <w:tr w:rsidR="0006181B" w:rsidTr="0006181B">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jc w:val="center"/>
              <w:rPr>
                <w:b/>
                <w:color w:val="000000"/>
                <w:sz w:val="24"/>
                <w:szCs w:val="28"/>
                <w:lang w:val="it-IT"/>
              </w:rPr>
            </w:pPr>
            <w:r>
              <w:rPr>
                <w:b/>
                <w:color w:val="000000"/>
                <w:sz w:val="28"/>
                <w:szCs w:val="28"/>
                <w:lang w:val="it-IT"/>
              </w:rPr>
              <w:t>Loại</w:t>
            </w:r>
          </w:p>
        </w:tc>
        <w:tc>
          <w:tcPr>
            <w:tcW w:w="2038" w:type="dxa"/>
            <w:vMerge w:val="restart"/>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jc w:val="center"/>
              <w:rPr>
                <w:b/>
                <w:color w:val="000000"/>
                <w:sz w:val="24"/>
                <w:szCs w:val="28"/>
                <w:lang w:val="it-IT"/>
              </w:rPr>
            </w:pPr>
            <w:r>
              <w:rPr>
                <w:b/>
                <w:color w:val="000000"/>
                <w:sz w:val="28"/>
                <w:szCs w:val="28"/>
                <w:lang w:val="it-IT"/>
              </w:rPr>
              <w:t>Thang điểm 10</w:t>
            </w:r>
          </w:p>
          <w:p w:rsidR="0006181B" w:rsidRDefault="0006181B">
            <w:pPr>
              <w:spacing w:before="120"/>
              <w:jc w:val="center"/>
              <w:rPr>
                <w:color w:val="000000"/>
                <w:sz w:val="24"/>
                <w:szCs w:val="28"/>
                <w:lang w:val="it-IT"/>
              </w:rPr>
            </w:pPr>
            <w:r>
              <w:rPr>
                <w:color w:val="000000"/>
                <w:sz w:val="28"/>
                <w:szCs w:val="28"/>
                <w:lang w:val="it-IT"/>
              </w:rPr>
              <w:t>(</w:t>
            </w:r>
            <w:r>
              <w:rPr>
                <w:i/>
                <w:color w:val="000000"/>
                <w:szCs w:val="28"/>
                <w:lang w:val="it-IT"/>
              </w:rPr>
              <w:t>Điểm học phần</w:t>
            </w:r>
            <w:r>
              <w:rPr>
                <w:color w:val="000000"/>
                <w:szCs w:val="28"/>
                <w:lang w:val="it-IT"/>
              </w:rPr>
              <w:t>)</w:t>
            </w:r>
          </w:p>
        </w:tc>
        <w:tc>
          <w:tcPr>
            <w:tcW w:w="3206" w:type="dxa"/>
            <w:gridSpan w:val="2"/>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jc w:val="center"/>
              <w:rPr>
                <w:b/>
                <w:color w:val="000000"/>
                <w:sz w:val="24"/>
                <w:szCs w:val="28"/>
                <w:lang w:val="it-IT"/>
              </w:rPr>
            </w:pPr>
            <w:r>
              <w:rPr>
                <w:b/>
                <w:color w:val="000000"/>
                <w:sz w:val="28"/>
                <w:szCs w:val="28"/>
                <w:lang w:val="it-IT"/>
              </w:rPr>
              <w:t>Điểm chữ &amp; điểm 4</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jc w:val="center"/>
              <w:rPr>
                <w:b/>
                <w:color w:val="000000"/>
                <w:sz w:val="24"/>
                <w:szCs w:val="28"/>
                <w:lang w:val="it-IT"/>
              </w:rPr>
            </w:pPr>
            <w:r>
              <w:rPr>
                <w:b/>
                <w:color w:val="000000"/>
                <w:sz w:val="28"/>
                <w:szCs w:val="28"/>
                <w:lang w:val="it-IT"/>
              </w:rPr>
              <w:t>Xếp loại</w:t>
            </w:r>
          </w:p>
        </w:tc>
      </w:tr>
      <w:tr w:rsidR="0006181B" w:rsidTr="000618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b/>
                <w:color w:val="000000"/>
                <w:sz w:val="24"/>
                <w:szCs w:val="28"/>
                <w:lang w:val="it-I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color w:val="000000"/>
                <w:sz w:val="24"/>
                <w:szCs w:val="28"/>
                <w:lang w:val="it-IT"/>
              </w:rPr>
            </w:pP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jc w:val="center"/>
              <w:rPr>
                <w:i/>
                <w:color w:val="000000"/>
                <w:sz w:val="24"/>
                <w:szCs w:val="28"/>
                <w:lang w:val="it-IT"/>
              </w:rPr>
            </w:pPr>
            <w:r>
              <w:rPr>
                <w:i/>
                <w:color w:val="000000"/>
                <w:sz w:val="28"/>
                <w:szCs w:val="28"/>
                <w:lang w:val="it-IT"/>
              </w:rPr>
              <w:t>Điểm chữ</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jc w:val="center"/>
              <w:rPr>
                <w:i/>
                <w:color w:val="000000"/>
                <w:sz w:val="24"/>
                <w:szCs w:val="28"/>
                <w:lang w:val="it-IT"/>
              </w:rPr>
            </w:pPr>
            <w:r>
              <w:rPr>
                <w:i/>
                <w:color w:val="000000"/>
                <w:sz w:val="28"/>
                <w:szCs w:val="28"/>
                <w:lang w:val="it-IT"/>
              </w:rPr>
              <w:t>Điểm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b/>
                <w:color w:val="000000"/>
                <w:sz w:val="24"/>
                <w:szCs w:val="28"/>
                <w:lang w:val="it-IT"/>
              </w:rPr>
            </w:pPr>
          </w:p>
        </w:tc>
      </w:tr>
      <w:tr w:rsidR="0006181B" w:rsidTr="0006181B">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rPr>
                <w:color w:val="000000"/>
                <w:sz w:val="24"/>
                <w:szCs w:val="28"/>
                <w:lang w:val="it-IT"/>
              </w:rPr>
            </w:pPr>
            <w:r>
              <w:rPr>
                <w:color w:val="000000"/>
                <w:sz w:val="28"/>
                <w:szCs w:val="28"/>
                <w:lang w:val="it-IT"/>
              </w:rPr>
              <w:t>Đạt*</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widowControl w:val="0"/>
              <w:tabs>
                <w:tab w:val="left" w:pos="1026"/>
              </w:tabs>
              <w:autoSpaceDE w:val="0"/>
              <w:autoSpaceDN w:val="0"/>
              <w:adjustRightInd w:val="0"/>
              <w:spacing w:before="120"/>
              <w:jc w:val="center"/>
              <w:rPr>
                <w:color w:val="000000"/>
                <w:sz w:val="24"/>
                <w:szCs w:val="28"/>
                <w:lang w:val="it-IT"/>
              </w:rPr>
            </w:pPr>
            <w:r>
              <w:rPr>
                <w:color w:val="000000"/>
                <w:sz w:val="28"/>
                <w:szCs w:val="28"/>
                <w:lang w:val="it-IT"/>
              </w:rPr>
              <w:t>8,5 - 10</w:t>
            </w:r>
            <w:r>
              <w:rPr>
                <w:color w:val="000000"/>
                <w:sz w:val="28"/>
                <w:szCs w:val="28"/>
              </w:rPr>
              <w:br w:type="column"/>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547"/>
              <w:rPr>
                <w:color w:val="000000"/>
                <w:sz w:val="24"/>
                <w:szCs w:val="28"/>
                <w:lang w:val="it-IT"/>
              </w:rPr>
            </w:pPr>
            <w:r>
              <w:rPr>
                <w:color w:val="000000"/>
                <w:sz w:val="28"/>
                <w:szCs w:val="28"/>
                <w:lang w:val="it-IT"/>
              </w:rPr>
              <w:t>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459"/>
              <w:rPr>
                <w:color w:val="000000"/>
                <w:sz w:val="24"/>
                <w:szCs w:val="28"/>
                <w:lang w:val="it-IT"/>
              </w:rPr>
            </w:pPr>
            <w:r>
              <w:rPr>
                <w:color w:val="000000"/>
                <w:sz w:val="28"/>
                <w:szCs w:val="28"/>
                <w:lang w:val="it-IT"/>
              </w:rPr>
              <w:t>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176"/>
              <w:rPr>
                <w:color w:val="000000"/>
                <w:sz w:val="24"/>
                <w:szCs w:val="28"/>
                <w:lang w:val="it-IT"/>
              </w:rPr>
            </w:pPr>
            <w:r>
              <w:rPr>
                <w:color w:val="000000"/>
                <w:sz w:val="28"/>
                <w:szCs w:val="28"/>
                <w:lang w:val="it-IT"/>
              </w:rPr>
              <w:t>Giỏi</w:t>
            </w:r>
          </w:p>
        </w:tc>
      </w:tr>
      <w:tr w:rsidR="0006181B" w:rsidTr="000618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color w:val="000000"/>
                <w:sz w:val="24"/>
                <w:szCs w:val="28"/>
                <w:lang w:val="it-IT"/>
              </w:rPr>
            </w:pP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widowControl w:val="0"/>
              <w:tabs>
                <w:tab w:val="left" w:pos="1026"/>
              </w:tabs>
              <w:autoSpaceDE w:val="0"/>
              <w:autoSpaceDN w:val="0"/>
              <w:adjustRightInd w:val="0"/>
              <w:spacing w:before="120"/>
              <w:jc w:val="center"/>
              <w:rPr>
                <w:color w:val="000000"/>
                <w:sz w:val="24"/>
                <w:szCs w:val="28"/>
                <w:lang w:val="it-IT"/>
              </w:rPr>
            </w:pPr>
            <w:r>
              <w:rPr>
                <w:color w:val="000000"/>
                <w:sz w:val="28"/>
                <w:szCs w:val="28"/>
                <w:lang w:val="it-IT"/>
              </w:rPr>
              <w:t>8,0 - 8,4</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547"/>
              <w:rPr>
                <w:color w:val="000000"/>
                <w:sz w:val="24"/>
                <w:szCs w:val="28"/>
                <w:vertAlign w:val="superscript"/>
                <w:lang w:val="it-IT"/>
              </w:rPr>
            </w:pPr>
            <w:r>
              <w:rPr>
                <w:color w:val="000000"/>
                <w:sz w:val="28"/>
                <w:szCs w:val="28"/>
                <w:lang w:val="it-IT"/>
              </w:rPr>
              <w:t>B</w:t>
            </w:r>
            <w:r>
              <w:rPr>
                <w:color w:val="000000"/>
                <w:sz w:val="28"/>
                <w:szCs w:val="28"/>
                <w:vertAlign w:val="superscript"/>
                <w:lang w:val="it-IT"/>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459"/>
              <w:rPr>
                <w:color w:val="000000"/>
                <w:sz w:val="24"/>
                <w:szCs w:val="28"/>
                <w:lang w:val="it-IT"/>
              </w:rPr>
            </w:pPr>
            <w:r>
              <w:rPr>
                <w:color w:val="000000"/>
                <w:sz w:val="28"/>
                <w:szCs w:val="28"/>
                <w:lang w:val="it-IT"/>
              </w:rPr>
              <w:t>3,5</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176"/>
              <w:rPr>
                <w:color w:val="000000"/>
                <w:sz w:val="24"/>
                <w:szCs w:val="28"/>
                <w:lang w:val="it-IT"/>
              </w:rPr>
            </w:pPr>
            <w:r>
              <w:rPr>
                <w:color w:val="000000"/>
                <w:sz w:val="28"/>
                <w:szCs w:val="28"/>
                <w:lang w:val="it-IT"/>
              </w:rPr>
              <w:t>Khá</w:t>
            </w:r>
          </w:p>
        </w:tc>
      </w:tr>
      <w:tr w:rsidR="0006181B" w:rsidTr="000618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color w:val="000000"/>
                <w:sz w:val="24"/>
                <w:szCs w:val="28"/>
                <w:lang w:val="it-IT"/>
              </w:rPr>
            </w:pP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widowControl w:val="0"/>
              <w:tabs>
                <w:tab w:val="left" w:pos="1026"/>
              </w:tabs>
              <w:autoSpaceDE w:val="0"/>
              <w:autoSpaceDN w:val="0"/>
              <w:adjustRightInd w:val="0"/>
              <w:spacing w:before="120"/>
              <w:jc w:val="center"/>
              <w:rPr>
                <w:color w:val="000000"/>
                <w:sz w:val="24"/>
                <w:szCs w:val="28"/>
                <w:lang w:val="it-IT"/>
              </w:rPr>
            </w:pPr>
            <w:r>
              <w:rPr>
                <w:color w:val="000000"/>
                <w:sz w:val="28"/>
                <w:szCs w:val="28"/>
                <w:lang w:val="it-IT"/>
              </w:rPr>
              <w:t>7,0 - 7,9</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547"/>
              <w:rPr>
                <w:color w:val="000000"/>
                <w:sz w:val="24"/>
                <w:szCs w:val="28"/>
                <w:lang w:val="it-IT"/>
              </w:rPr>
            </w:pPr>
            <w:r>
              <w:rPr>
                <w:color w:val="000000"/>
                <w:sz w:val="28"/>
                <w:szCs w:val="28"/>
                <w:lang w:val="it-IT"/>
              </w:rPr>
              <w:t>B</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459"/>
              <w:rPr>
                <w:color w:val="000000"/>
                <w:sz w:val="24"/>
                <w:szCs w:val="28"/>
                <w:lang w:val="it-IT"/>
              </w:rPr>
            </w:pPr>
            <w:r>
              <w:rPr>
                <w:color w:val="000000"/>
                <w:sz w:val="28"/>
                <w:szCs w:val="28"/>
                <w:lang w:val="it-IT"/>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color w:val="000000"/>
                <w:sz w:val="24"/>
                <w:szCs w:val="28"/>
                <w:lang w:val="it-IT"/>
              </w:rPr>
            </w:pPr>
          </w:p>
        </w:tc>
      </w:tr>
      <w:tr w:rsidR="0006181B" w:rsidTr="000618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color w:val="000000"/>
                <w:sz w:val="24"/>
                <w:szCs w:val="28"/>
                <w:lang w:val="it-IT"/>
              </w:rPr>
            </w:pP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widowControl w:val="0"/>
              <w:tabs>
                <w:tab w:val="left" w:pos="1026"/>
              </w:tabs>
              <w:autoSpaceDE w:val="0"/>
              <w:autoSpaceDN w:val="0"/>
              <w:adjustRightInd w:val="0"/>
              <w:spacing w:before="120"/>
              <w:jc w:val="center"/>
              <w:rPr>
                <w:color w:val="000000"/>
                <w:sz w:val="24"/>
                <w:szCs w:val="28"/>
                <w:lang w:val="it-IT"/>
              </w:rPr>
            </w:pPr>
            <w:r>
              <w:rPr>
                <w:color w:val="000000"/>
                <w:sz w:val="28"/>
                <w:szCs w:val="28"/>
                <w:lang w:val="it-IT"/>
              </w:rPr>
              <w:t>6,5 - 6,9</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547"/>
              <w:rPr>
                <w:color w:val="000000"/>
                <w:sz w:val="24"/>
                <w:szCs w:val="28"/>
                <w:vertAlign w:val="superscript"/>
                <w:lang w:val="it-IT"/>
              </w:rPr>
            </w:pPr>
            <w:r>
              <w:rPr>
                <w:color w:val="000000"/>
                <w:sz w:val="28"/>
                <w:szCs w:val="28"/>
                <w:lang w:val="it-IT"/>
              </w:rPr>
              <w:t>C</w:t>
            </w:r>
            <w:r>
              <w:rPr>
                <w:color w:val="000000"/>
                <w:sz w:val="28"/>
                <w:szCs w:val="28"/>
                <w:vertAlign w:val="superscript"/>
                <w:lang w:val="it-IT"/>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459"/>
              <w:rPr>
                <w:color w:val="000000"/>
                <w:sz w:val="24"/>
                <w:szCs w:val="28"/>
                <w:lang w:val="it-IT"/>
              </w:rPr>
            </w:pPr>
            <w:r>
              <w:rPr>
                <w:color w:val="000000"/>
                <w:sz w:val="28"/>
                <w:szCs w:val="28"/>
                <w:lang w:val="it-IT"/>
              </w:rPr>
              <w:t>2,5</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176"/>
              <w:rPr>
                <w:color w:val="000000"/>
                <w:sz w:val="24"/>
                <w:szCs w:val="28"/>
                <w:lang w:val="it-IT"/>
              </w:rPr>
            </w:pPr>
            <w:r>
              <w:rPr>
                <w:color w:val="000000"/>
                <w:sz w:val="28"/>
                <w:szCs w:val="28"/>
                <w:lang w:val="it-IT"/>
              </w:rPr>
              <w:t>Trung bình</w:t>
            </w:r>
          </w:p>
        </w:tc>
      </w:tr>
      <w:tr w:rsidR="0006181B" w:rsidTr="000618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color w:val="000000"/>
                <w:sz w:val="24"/>
                <w:szCs w:val="28"/>
                <w:lang w:val="it-IT"/>
              </w:rPr>
            </w:pP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widowControl w:val="0"/>
              <w:tabs>
                <w:tab w:val="left" w:pos="1026"/>
              </w:tabs>
              <w:autoSpaceDE w:val="0"/>
              <w:autoSpaceDN w:val="0"/>
              <w:adjustRightInd w:val="0"/>
              <w:spacing w:before="120"/>
              <w:jc w:val="center"/>
              <w:rPr>
                <w:color w:val="000000"/>
                <w:sz w:val="24"/>
                <w:szCs w:val="28"/>
                <w:lang w:val="it-IT"/>
              </w:rPr>
            </w:pPr>
            <w:r>
              <w:rPr>
                <w:color w:val="000000"/>
                <w:sz w:val="28"/>
                <w:szCs w:val="28"/>
                <w:lang w:val="it-IT"/>
              </w:rPr>
              <w:t>5,5 - 6,4</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547"/>
              <w:rPr>
                <w:color w:val="000000"/>
                <w:sz w:val="24"/>
                <w:szCs w:val="28"/>
                <w:lang w:val="it-IT"/>
              </w:rPr>
            </w:pPr>
            <w:r>
              <w:rPr>
                <w:color w:val="000000"/>
                <w:sz w:val="28"/>
                <w:szCs w:val="28"/>
                <w:lang w:val="it-IT"/>
              </w:rPr>
              <w:t>C</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459"/>
              <w:rPr>
                <w:color w:val="000000"/>
                <w:sz w:val="24"/>
                <w:szCs w:val="28"/>
                <w:lang w:val="it-IT"/>
              </w:rPr>
            </w:pPr>
            <w:r>
              <w:rPr>
                <w:color w:val="000000"/>
                <w:sz w:val="28"/>
                <w:szCs w:val="28"/>
                <w:lang w:val="it-IT"/>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color w:val="000000"/>
                <w:sz w:val="24"/>
                <w:szCs w:val="28"/>
                <w:lang w:val="it-IT"/>
              </w:rPr>
            </w:pPr>
          </w:p>
        </w:tc>
      </w:tr>
      <w:tr w:rsidR="0006181B" w:rsidTr="000618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color w:val="000000"/>
                <w:sz w:val="24"/>
                <w:szCs w:val="28"/>
                <w:lang w:val="it-IT"/>
              </w:rPr>
            </w:pP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widowControl w:val="0"/>
              <w:tabs>
                <w:tab w:val="left" w:pos="1026"/>
              </w:tabs>
              <w:autoSpaceDE w:val="0"/>
              <w:autoSpaceDN w:val="0"/>
              <w:adjustRightInd w:val="0"/>
              <w:spacing w:before="120"/>
              <w:jc w:val="center"/>
              <w:rPr>
                <w:color w:val="000000"/>
                <w:sz w:val="24"/>
                <w:szCs w:val="28"/>
                <w:lang w:val="it-IT"/>
              </w:rPr>
            </w:pPr>
            <w:r>
              <w:rPr>
                <w:color w:val="000000"/>
                <w:sz w:val="28"/>
                <w:szCs w:val="28"/>
              </w:rPr>
              <w:t>5,0 - 5,4</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547"/>
              <w:rPr>
                <w:color w:val="000000"/>
                <w:sz w:val="24"/>
                <w:szCs w:val="28"/>
                <w:vertAlign w:val="superscript"/>
                <w:lang w:val="it-IT"/>
              </w:rPr>
            </w:pPr>
            <w:r>
              <w:rPr>
                <w:color w:val="000000"/>
                <w:sz w:val="28"/>
                <w:szCs w:val="28"/>
                <w:lang w:val="it-IT"/>
              </w:rPr>
              <w:t>D</w:t>
            </w:r>
            <w:r>
              <w:rPr>
                <w:color w:val="000000"/>
                <w:sz w:val="28"/>
                <w:szCs w:val="28"/>
                <w:vertAlign w:val="superscript"/>
                <w:lang w:val="it-IT"/>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459"/>
              <w:rPr>
                <w:color w:val="000000"/>
                <w:sz w:val="24"/>
                <w:szCs w:val="28"/>
                <w:lang w:val="it-IT"/>
              </w:rPr>
            </w:pPr>
            <w:r>
              <w:rPr>
                <w:color w:val="000000"/>
                <w:sz w:val="28"/>
                <w:szCs w:val="28"/>
                <w:lang w:val="it-IT"/>
              </w:rPr>
              <w:t>1,5</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176"/>
              <w:rPr>
                <w:color w:val="000000"/>
                <w:sz w:val="24"/>
                <w:szCs w:val="28"/>
                <w:lang w:val="it-IT"/>
              </w:rPr>
            </w:pPr>
            <w:r>
              <w:rPr>
                <w:color w:val="000000"/>
                <w:sz w:val="28"/>
                <w:szCs w:val="28"/>
                <w:lang w:val="it-IT"/>
              </w:rPr>
              <w:t>Trung bình yếu</w:t>
            </w:r>
          </w:p>
        </w:tc>
      </w:tr>
      <w:tr w:rsidR="0006181B" w:rsidTr="0006181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color w:val="000000"/>
                <w:sz w:val="24"/>
                <w:szCs w:val="28"/>
                <w:lang w:val="it-IT"/>
              </w:rPr>
            </w:pP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widowControl w:val="0"/>
              <w:tabs>
                <w:tab w:val="left" w:pos="1026"/>
              </w:tabs>
              <w:autoSpaceDE w:val="0"/>
              <w:autoSpaceDN w:val="0"/>
              <w:adjustRightInd w:val="0"/>
              <w:spacing w:before="120"/>
              <w:jc w:val="center"/>
              <w:rPr>
                <w:color w:val="000000"/>
                <w:sz w:val="24"/>
                <w:szCs w:val="28"/>
                <w:lang w:val="it-IT"/>
              </w:rPr>
            </w:pPr>
            <w:r>
              <w:rPr>
                <w:color w:val="000000"/>
                <w:sz w:val="28"/>
                <w:szCs w:val="28"/>
              </w:rPr>
              <w:t>4,0 - 4,9</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547"/>
              <w:rPr>
                <w:color w:val="000000"/>
                <w:sz w:val="24"/>
                <w:szCs w:val="28"/>
                <w:lang w:val="it-IT"/>
              </w:rPr>
            </w:pPr>
            <w:r>
              <w:rPr>
                <w:color w:val="000000"/>
                <w:sz w:val="28"/>
                <w:szCs w:val="28"/>
                <w:lang w:val="it-IT"/>
              </w:rPr>
              <w:t>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459"/>
              <w:rPr>
                <w:color w:val="000000"/>
                <w:sz w:val="24"/>
                <w:szCs w:val="28"/>
                <w:lang w:val="it-IT"/>
              </w:rPr>
            </w:pPr>
            <w:r>
              <w:rPr>
                <w:color w:val="000000"/>
                <w:sz w:val="28"/>
                <w:szCs w:val="28"/>
                <w:lang w:val="it-IT"/>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181B" w:rsidRDefault="0006181B">
            <w:pPr>
              <w:rPr>
                <w:color w:val="000000"/>
                <w:sz w:val="24"/>
                <w:szCs w:val="28"/>
                <w:lang w:val="it-IT"/>
              </w:rPr>
            </w:pPr>
          </w:p>
        </w:tc>
      </w:tr>
      <w:tr w:rsidR="0006181B" w:rsidTr="0006181B">
        <w:tc>
          <w:tcPr>
            <w:tcW w:w="1418"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jc w:val="center"/>
              <w:rPr>
                <w:color w:val="000000"/>
                <w:sz w:val="24"/>
                <w:szCs w:val="28"/>
                <w:lang w:val="it-IT"/>
              </w:rPr>
            </w:pPr>
            <w:r>
              <w:rPr>
                <w:color w:val="000000"/>
                <w:sz w:val="28"/>
                <w:szCs w:val="28"/>
                <w:lang w:val="it-IT"/>
              </w:rPr>
              <w:t>Không đạt</w:t>
            </w:r>
          </w:p>
        </w:tc>
        <w:tc>
          <w:tcPr>
            <w:tcW w:w="2038"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widowControl w:val="0"/>
              <w:autoSpaceDE w:val="0"/>
              <w:autoSpaceDN w:val="0"/>
              <w:adjustRightInd w:val="0"/>
              <w:spacing w:before="120"/>
              <w:jc w:val="center"/>
              <w:rPr>
                <w:color w:val="000000"/>
                <w:sz w:val="24"/>
                <w:szCs w:val="28"/>
                <w:lang w:val="it-IT"/>
              </w:rPr>
            </w:pPr>
            <w:r>
              <w:rPr>
                <w:color w:val="000000"/>
                <w:sz w:val="28"/>
                <w:szCs w:val="28"/>
              </w:rPr>
              <w:t>dưới 4,0</w:t>
            </w:r>
          </w:p>
        </w:tc>
        <w:tc>
          <w:tcPr>
            <w:tcW w:w="1647"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547"/>
              <w:rPr>
                <w:color w:val="000000"/>
                <w:sz w:val="24"/>
                <w:szCs w:val="28"/>
                <w:lang w:val="it-IT"/>
              </w:rPr>
            </w:pPr>
            <w:r>
              <w:rPr>
                <w:color w:val="000000"/>
                <w:sz w:val="28"/>
                <w:szCs w:val="28"/>
                <w:lang w:val="it-IT"/>
              </w:rPr>
              <w:t>F</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459"/>
              <w:rPr>
                <w:color w:val="000000"/>
                <w:sz w:val="24"/>
                <w:szCs w:val="28"/>
                <w:lang w:val="it-IT"/>
              </w:rPr>
            </w:pPr>
            <w:r>
              <w:rPr>
                <w:color w:val="000000"/>
                <w:sz w:val="28"/>
                <w:szCs w:val="28"/>
                <w:lang w:val="it-IT"/>
              </w:rPr>
              <w:t>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6181B" w:rsidRDefault="0006181B">
            <w:pPr>
              <w:spacing w:before="120"/>
              <w:ind w:firstLine="176"/>
              <w:rPr>
                <w:color w:val="000000"/>
                <w:sz w:val="24"/>
                <w:szCs w:val="28"/>
                <w:lang w:val="it-IT"/>
              </w:rPr>
            </w:pPr>
            <w:r>
              <w:rPr>
                <w:color w:val="000000"/>
                <w:sz w:val="28"/>
                <w:szCs w:val="28"/>
                <w:lang w:val="it-IT"/>
              </w:rPr>
              <w:t>Kém</w:t>
            </w:r>
          </w:p>
        </w:tc>
      </w:tr>
    </w:tbl>
    <w:p w:rsidR="0006181B" w:rsidRDefault="0006181B" w:rsidP="0006181B">
      <w:pPr>
        <w:spacing w:before="240"/>
        <w:ind w:firstLine="567"/>
        <w:jc w:val="both"/>
        <w:rPr>
          <w:i/>
          <w:color w:val="000000"/>
          <w:sz w:val="28"/>
          <w:szCs w:val="28"/>
          <w:lang w:val="it-IT"/>
        </w:rPr>
      </w:pPr>
      <w:r>
        <w:rPr>
          <w:color w:val="000000"/>
          <w:sz w:val="28"/>
          <w:szCs w:val="28"/>
          <w:lang w:val="it-IT"/>
        </w:rPr>
        <w:lastRenderedPageBreak/>
        <w:t>(</w:t>
      </w:r>
      <w:r>
        <w:rPr>
          <w:b/>
          <w:color w:val="000000"/>
          <w:sz w:val="28"/>
          <w:szCs w:val="28"/>
          <w:lang w:val="it-IT"/>
        </w:rPr>
        <w:t>*</w:t>
      </w:r>
      <w:r>
        <w:rPr>
          <w:color w:val="000000"/>
          <w:sz w:val="28"/>
          <w:szCs w:val="28"/>
          <w:lang w:val="it-IT"/>
        </w:rPr>
        <w:t>)</w:t>
      </w:r>
      <w:r>
        <w:rPr>
          <w:i/>
          <w:color w:val="000000"/>
          <w:sz w:val="28"/>
          <w:szCs w:val="28"/>
          <w:lang w:val="it-IT"/>
        </w:rPr>
        <w:t xml:space="preserve"> </w:t>
      </w:r>
      <w:r>
        <w:rPr>
          <w:color w:val="000000"/>
          <w:sz w:val="28"/>
          <w:szCs w:val="28"/>
          <w:lang w:val="it-IT"/>
        </w:rPr>
        <w:t>Riêng các học phần: đồ án, khóa luận tốt nghiệp điểm thành phần từ 5,5 (điểm C hay điểm 2) trở lên mới coi là đạt.</w:t>
      </w:r>
    </w:p>
    <w:p w:rsidR="0006181B" w:rsidRDefault="0006181B" w:rsidP="0006181B">
      <w:pPr>
        <w:spacing w:before="120"/>
        <w:ind w:firstLine="567"/>
        <w:jc w:val="both"/>
        <w:rPr>
          <w:sz w:val="28"/>
          <w:szCs w:val="24"/>
          <w:lang w:val="it-IT" w:bidi="he-IL"/>
        </w:rPr>
      </w:pPr>
      <w:r>
        <w:rPr>
          <w:sz w:val="28"/>
          <w:lang w:val="it-IT" w:bidi="he-IL"/>
        </w:rPr>
        <w:t>- Đối với những học phần chưa đủ cơ sở để đưa vào tính điểm trung bình chung học kỳ, khi xếp mức đánh giá được sử dụng các kí hiệu sau:</w:t>
      </w:r>
    </w:p>
    <w:p w:rsidR="0006181B" w:rsidRDefault="0006181B" w:rsidP="0006181B">
      <w:pPr>
        <w:tabs>
          <w:tab w:val="left" w:pos="2552"/>
        </w:tabs>
        <w:spacing w:before="120"/>
        <w:ind w:firstLine="567"/>
        <w:jc w:val="both"/>
        <w:rPr>
          <w:sz w:val="28"/>
          <w:lang w:val="it-IT" w:bidi="he-IL"/>
        </w:rPr>
      </w:pPr>
      <w:r>
        <w:rPr>
          <w:sz w:val="28"/>
          <w:lang w:val="it-IT" w:bidi="he-IL"/>
        </w:rPr>
        <w:t xml:space="preserve">                       </w:t>
      </w:r>
      <w:r>
        <w:rPr>
          <w:sz w:val="28"/>
          <w:lang w:val="it-IT" w:bidi="he-IL"/>
        </w:rPr>
        <w:tab/>
        <w:t xml:space="preserve">I </w:t>
      </w:r>
      <w:r>
        <w:rPr>
          <w:sz w:val="28"/>
          <w:lang w:val="it-IT" w:bidi="he-IL"/>
        </w:rPr>
        <w:tab/>
        <w:t>Chưa đủ dữ liệu đánh giá.</w:t>
      </w:r>
    </w:p>
    <w:p w:rsidR="0006181B" w:rsidRDefault="0006181B" w:rsidP="0006181B">
      <w:pPr>
        <w:tabs>
          <w:tab w:val="left" w:pos="2552"/>
        </w:tabs>
        <w:spacing w:before="120"/>
        <w:ind w:firstLine="567"/>
        <w:jc w:val="both"/>
        <w:rPr>
          <w:sz w:val="28"/>
          <w:lang w:val="it-IT" w:bidi="he-IL"/>
        </w:rPr>
      </w:pPr>
      <w:r>
        <w:rPr>
          <w:sz w:val="28"/>
          <w:lang w:val="it-IT" w:bidi="he-IL"/>
        </w:rPr>
        <w:t xml:space="preserve">                      </w:t>
      </w:r>
      <w:r>
        <w:rPr>
          <w:sz w:val="28"/>
          <w:lang w:val="it-IT" w:bidi="he-IL"/>
        </w:rPr>
        <w:tab/>
        <w:t xml:space="preserve">X </w:t>
      </w:r>
      <w:r>
        <w:rPr>
          <w:sz w:val="28"/>
          <w:lang w:val="it-IT" w:bidi="he-IL"/>
        </w:rPr>
        <w:tab/>
        <w:t>Chưa nhận được kết quả thi.</w:t>
      </w:r>
    </w:p>
    <w:p w:rsidR="0006181B" w:rsidRDefault="0006181B" w:rsidP="0006181B">
      <w:pPr>
        <w:spacing w:before="120"/>
        <w:ind w:firstLine="567"/>
        <w:jc w:val="both"/>
        <w:rPr>
          <w:sz w:val="28"/>
          <w:lang w:val="it-IT" w:bidi="he-IL"/>
        </w:rPr>
      </w:pPr>
      <w:r>
        <w:rPr>
          <w:sz w:val="28"/>
          <w:lang w:val="it-IT" w:bidi="he-IL"/>
        </w:rPr>
        <w:t>- Đối với những học phần được nhà trường cho phép chuyển điểm, khi xếp mức đánh giá được sử dụng kí hiệu R viết kèm với kết quả.</w:t>
      </w:r>
    </w:p>
    <w:p w:rsidR="0006181B" w:rsidRDefault="0006181B" w:rsidP="0006181B">
      <w:pPr>
        <w:spacing w:before="120"/>
        <w:ind w:firstLine="567"/>
        <w:jc w:val="both"/>
        <w:rPr>
          <w:sz w:val="28"/>
          <w:lang w:val="it-IT" w:bidi="he-IL"/>
        </w:rPr>
      </w:pPr>
      <w:r>
        <w:rPr>
          <w:sz w:val="28"/>
          <w:lang w:val="it-IT" w:bidi="he-IL"/>
        </w:rPr>
        <w:t xml:space="preserve">3. Việc xếp loại các mức điểm </w:t>
      </w:r>
      <w:r>
        <w:rPr>
          <w:sz w:val="28"/>
          <w:szCs w:val="28"/>
          <w:lang w:val="it-IT"/>
        </w:rPr>
        <w:t>A, B</w:t>
      </w:r>
      <w:r>
        <w:rPr>
          <w:sz w:val="28"/>
          <w:szCs w:val="28"/>
          <w:vertAlign w:val="superscript"/>
          <w:lang w:val="it-IT"/>
        </w:rPr>
        <w:t>+</w:t>
      </w:r>
      <w:r>
        <w:rPr>
          <w:sz w:val="28"/>
          <w:szCs w:val="28"/>
          <w:lang w:val="it-IT"/>
        </w:rPr>
        <w:t>, B , C</w:t>
      </w:r>
      <w:r>
        <w:rPr>
          <w:sz w:val="28"/>
          <w:szCs w:val="28"/>
          <w:vertAlign w:val="superscript"/>
          <w:lang w:val="it-IT"/>
        </w:rPr>
        <w:t>+</w:t>
      </w:r>
      <w:r>
        <w:rPr>
          <w:sz w:val="28"/>
          <w:szCs w:val="28"/>
          <w:lang w:val="it-IT"/>
        </w:rPr>
        <w:t>, C, D</w:t>
      </w:r>
      <w:r>
        <w:rPr>
          <w:sz w:val="28"/>
          <w:szCs w:val="28"/>
          <w:vertAlign w:val="superscript"/>
          <w:lang w:val="it-IT"/>
        </w:rPr>
        <w:t>+</w:t>
      </w:r>
      <w:r>
        <w:rPr>
          <w:sz w:val="28"/>
          <w:szCs w:val="28"/>
          <w:lang w:val="it-IT"/>
        </w:rPr>
        <w:t xml:space="preserve">, D, F </w:t>
      </w:r>
      <w:r>
        <w:rPr>
          <w:sz w:val="28"/>
          <w:lang w:val="it-IT" w:bidi="he-IL"/>
        </w:rPr>
        <w:t>được áp dụng cho các trường hợp sau đây:</w:t>
      </w:r>
    </w:p>
    <w:p w:rsidR="0006181B" w:rsidRDefault="0006181B" w:rsidP="0006181B">
      <w:pPr>
        <w:tabs>
          <w:tab w:val="left" w:pos="1107"/>
        </w:tabs>
        <w:spacing w:before="120"/>
        <w:ind w:firstLine="567"/>
        <w:jc w:val="both"/>
        <w:rPr>
          <w:sz w:val="28"/>
          <w:lang w:bidi="he-IL"/>
        </w:rPr>
      </w:pPr>
      <w:r>
        <w:rPr>
          <w:sz w:val="28"/>
          <w:lang w:bidi="he-IL"/>
        </w:rPr>
        <w:t>a) Đối với những học phần mà sinh viên đã có đủ điểm đánh giá bộ phận, kể cả trường hợp bỏ học, bỏ kiểm tra hoặc bỏ thi không có lý do phải nhận điểm 0;</w:t>
      </w:r>
    </w:p>
    <w:p w:rsidR="0006181B" w:rsidRDefault="0006181B" w:rsidP="0006181B">
      <w:pPr>
        <w:tabs>
          <w:tab w:val="left" w:pos="1107"/>
        </w:tabs>
        <w:spacing w:before="120"/>
        <w:ind w:firstLine="567"/>
        <w:jc w:val="both"/>
        <w:rPr>
          <w:sz w:val="28"/>
          <w:lang w:bidi="he-IL"/>
        </w:rPr>
      </w:pPr>
      <w:r>
        <w:rPr>
          <w:sz w:val="28"/>
          <w:lang w:bidi="he-IL"/>
        </w:rPr>
        <w:t>b) Chuyển đổi từ mức điểm I qua, sau khi đã có các kết quả đánh giá bộ phận mà trước đó sinh viên được giảng viên cho phép nợ;</w:t>
      </w:r>
    </w:p>
    <w:p w:rsidR="0006181B" w:rsidRDefault="0006181B" w:rsidP="0006181B">
      <w:pPr>
        <w:tabs>
          <w:tab w:val="left" w:pos="1107"/>
        </w:tabs>
        <w:spacing w:before="120"/>
        <w:ind w:firstLine="567"/>
        <w:jc w:val="both"/>
        <w:rPr>
          <w:sz w:val="28"/>
          <w:lang w:bidi="he-IL"/>
        </w:rPr>
      </w:pPr>
      <w:r>
        <w:rPr>
          <w:sz w:val="28"/>
          <w:lang w:bidi="he-IL"/>
        </w:rPr>
        <w:t>c) Chuyển đổi từ các trường hợp X qua.</w:t>
      </w:r>
    </w:p>
    <w:p w:rsidR="0006181B" w:rsidRDefault="0006181B" w:rsidP="0006181B">
      <w:pPr>
        <w:spacing w:before="120"/>
        <w:ind w:firstLine="567"/>
        <w:jc w:val="both"/>
        <w:rPr>
          <w:sz w:val="28"/>
          <w:szCs w:val="28"/>
          <w:lang w:val="it-IT"/>
        </w:rPr>
      </w:pPr>
      <w:r>
        <w:rPr>
          <w:sz w:val="28"/>
          <w:lang w:bidi="he-IL"/>
        </w:rPr>
        <w:t>4. Việc xếp loại ở mức điểm F ngoài những trường hợp như đã nêu ở khoản 3 Điều này, còn áp dụng cho trường hợp sinh viên vi phạm nội quy thi, có quyết định phải nhận mức điểm F.</w:t>
      </w:r>
    </w:p>
    <w:p w:rsidR="0006181B" w:rsidRDefault="0006181B" w:rsidP="0006181B">
      <w:pPr>
        <w:spacing w:before="120"/>
        <w:ind w:firstLine="540"/>
        <w:jc w:val="both"/>
        <w:rPr>
          <w:sz w:val="28"/>
          <w:szCs w:val="28"/>
          <w:lang w:val="it-IT"/>
        </w:rPr>
      </w:pPr>
      <w:r>
        <w:rPr>
          <w:sz w:val="28"/>
          <w:szCs w:val="28"/>
          <w:lang w:val="it-IT"/>
        </w:rPr>
        <w:t>5. Việc xếp loại theo mức điểm I, X và ký hiệu R được áp dụng cho các trường hợp sau đây:</w:t>
      </w:r>
    </w:p>
    <w:p w:rsidR="0006181B" w:rsidRDefault="0006181B" w:rsidP="0006181B">
      <w:pPr>
        <w:spacing w:before="120"/>
        <w:ind w:firstLine="540"/>
        <w:jc w:val="both"/>
        <w:rPr>
          <w:sz w:val="28"/>
          <w:szCs w:val="28"/>
          <w:lang w:val="it-IT"/>
        </w:rPr>
      </w:pPr>
      <w:r>
        <w:rPr>
          <w:sz w:val="28"/>
          <w:szCs w:val="28"/>
          <w:lang w:val="it-IT"/>
        </w:rPr>
        <w:t xml:space="preserve">a) Điểm I: Điểm chưa hoàn tất học phần, áp dụng trong các trường hợp trong thời gian đánh giá học phần hoặc trong thời gian thi kết thúc học phần sinh viên bị ốm, tai nạn, trùng lịch thi hoặc các lý do đặc biệt khác không thể dự kiểm tra hoặc thi, nhưng phải được Trưởng phòng Đào tạo và Trưởng khoa/trung tâm cho phép, trừ trường hợp đặc biệt do Hiệu trưởng quy định. </w:t>
      </w:r>
    </w:p>
    <w:p w:rsidR="0006181B" w:rsidRDefault="0006181B" w:rsidP="0006181B">
      <w:pPr>
        <w:spacing w:before="120"/>
        <w:ind w:firstLine="540"/>
        <w:jc w:val="both"/>
        <w:rPr>
          <w:sz w:val="28"/>
          <w:szCs w:val="28"/>
          <w:lang w:val="it-IT"/>
        </w:rPr>
      </w:pPr>
      <w:r>
        <w:rPr>
          <w:sz w:val="28"/>
          <w:szCs w:val="28"/>
          <w:lang w:val="it-IT"/>
        </w:rPr>
        <w:t xml:space="preserve">Trong thời hạn 2 học kỳ chính kế tiếp, sinh viên nhận điểm I phải theo dõi lịch học, lịch thi để đăng ký trả nợ xóa điểm I khi Trường có tổ chức đánh giá thành phần tương ứng của học phần. Sau thời hạn này, nếu sinh viên chưa có điểm để đánh giá học phần, điểm I tự động được chuyển thành điểm F. </w:t>
      </w:r>
    </w:p>
    <w:p w:rsidR="0006181B" w:rsidRDefault="0006181B" w:rsidP="0006181B">
      <w:pPr>
        <w:spacing w:before="120"/>
        <w:ind w:firstLine="540"/>
        <w:jc w:val="both"/>
        <w:rPr>
          <w:sz w:val="28"/>
          <w:szCs w:val="28"/>
          <w:lang w:val="it-IT"/>
        </w:rPr>
      </w:pPr>
      <w:r>
        <w:rPr>
          <w:sz w:val="28"/>
          <w:szCs w:val="28"/>
          <w:lang w:val="it-IT"/>
        </w:rPr>
        <w:t xml:space="preserve">b) Điểm  X: Được sử dụng cho trường hợp chưa đủ số liệu vào điểm (ví dụ do nộp điểm muộn,...).  </w:t>
      </w:r>
    </w:p>
    <w:p w:rsidR="0006181B" w:rsidRDefault="0006181B" w:rsidP="0006181B">
      <w:pPr>
        <w:spacing w:before="120"/>
        <w:ind w:firstLine="540"/>
        <w:jc w:val="both"/>
        <w:rPr>
          <w:sz w:val="28"/>
          <w:szCs w:val="28"/>
          <w:lang w:val="it-IT"/>
        </w:rPr>
      </w:pPr>
      <w:r>
        <w:rPr>
          <w:sz w:val="28"/>
          <w:szCs w:val="28"/>
          <w:lang w:val="it-IT"/>
        </w:rPr>
        <w:t xml:space="preserve">c) Ký hiệu R: </w:t>
      </w:r>
    </w:p>
    <w:p w:rsidR="0006181B" w:rsidRDefault="0006181B" w:rsidP="0006181B">
      <w:pPr>
        <w:tabs>
          <w:tab w:val="left" w:pos="-4678"/>
        </w:tabs>
        <w:spacing w:line="312" w:lineRule="auto"/>
        <w:ind w:firstLine="567"/>
        <w:jc w:val="both"/>
        <w:rPr>
          <w:sz w:val="28"/>
          <w:szCs w:val="24"/>
          <w:lang w:val="it-IT" w:bidi="he-IL"/>
        </w:rPr>
      </w:pPr>
      <w:r>
        <w:rPr>
          <w:sz w:val="28"/>
          <w:lang w:val="it-IT" w:bidi="he-IL"/>
        </w:rPr>
        <w:lastRenderedPageBreak/>
        <w:t>- Điểm học phần được đánh giá ở các mức điểm A, B, C, D trong đợt đánh giá đầu học kỳ (nếu có) đối với một số học phần được phép thi sớm để sinh viên học vượt.</w:t>
      </w:r>
    </w:p>
    <w:p w:rsidR="0006181B" w:rsidRDefault="0006181B" w:rsidP="0006181B">
      <w:pPr>
        <w:tabs>
          <w:tab w:val="left" w:pos="-4678"/>
        </w:tabs>
        <w:spacing w:line="312" w:lineRule="auto"/>
        <w:ind w:firstLine="567"/>
        <w:jc w:val="both"/>
        <w:rPr>
          <w:sz w:val="28"/>
          <w:lang w:val="it-IT" w:bidi="he-IL"/>
        </w:rPr>
      </w:pPr>
      <w:r>
        <w:rPr>
          <w:sz w:val="28"/>
          <w:lang w:val="it-IT" w:bidi="he-IL"/>
        </w:rPr>
        <w:t>- Những học phần được công nhận kết quả khi sinh viên chuyển từ trường khác đến hoặc chuyển đổi giữa các chương trình.</w:t>
      </w:r>
    </w:p>
    <w:p w:rsidR="0006181B" w:rsidRDefault="0006181B" w:rsidP="0006181B">
      <w:pPr>
        <w:spacing w:before="120"/>
        <w:ind w:firstLine="540"/>
        <w:jc w:val="both"/>
        <w:rPr>
          <w:sz w:val="28"/>
          <w:szCs w:val="28"/>
        </w:rPr>
      </w:pPr>
      <w:r>
        <w:rPr>
          <w:sz w:val="28"/>
          <w:szCs w:val="28"/>
          <w:lang w:val="it-IT"/>
        </w:rPr>
        <w:t xml:space="preserve">6. Khiếu nại điểm và sửa điểm: Đối với điểm đánh giá quá trình, điểm thi kết thúc học phần, điểm kiểm tra giữa kỳ hay các điểm thành phần khác, sinh viên có thể làm đơn khiếu nại trực tiếp với khoa/trung tâm và phòng Đào tạo (thi trắc nghiệm trên máy vi tính) khi công bố điểm. </w:t>
      </w:r>
      <w:r>
        <w:rPr>
          <w:sz w:val="28"/>
          <w:szCs w:val="28"/>
        </w:rPr>
        <w:t>Việc khiếu nại về điểm chỉ được chấp nhận trong vòng 15 ngày kể từ khi công bố điểm. Sau thời hạn này, mọi khiếu nại về điểm đều không được chấp nhận.</w:t>
      </w:r>
    </w:p>
    <w:p w:rsidR="0006181B" w:rsidRDefault="0006181B" w:rsidP="0006181B">
      <w:pPr>
        <w:spacing w:before="120"/>
        <w:ind w:firstLine="540"/>
        <w:jc w:val="both"/>
        <w:rPr>
          <w:sz w:val="28"/>
          <w:szCs w:val="28"/>
          <w:lang w:val="it-IT"/>
        </w:rPr>
      </w:pPr>
      <w:r>
        <w:rPr>
          <w:sz w:val="28"/>
          <w:szCs w:val="28"/>
        </w:rPr>
        <w:t>Việc sửa điểm trong phần mềm quản lý kết quả học tập được thực hiện theo qui định quản lý và sử dụng phần mềm Quản lý kết quả học tập.</w:t>
      </w:r>
      <w:r>
        <w:rPr>
          <w:sz w:val="28"/>
          <w:szCs w:val="28"/>
          <w:lang w:val="it-IT"/>
        </w:rPr>
        <w:t xml:space="preserve"> </w:t>
      </w:r>
    </w:p>
    <w:p w:rsidR="0006181B" w:rsidRDefault="0006181B" w:rsidP="0006181B">
      <w:pPr>
        <w:spacing w:before="120"/>
        <w:ind w:firstLine="567"/>
        <w:jc w:val="both"/>
        <w:rPr>
          <w:sz w:val="28"/>
          <w:szCs w:val="28"/>
          <w:lang w:val="it-IT"/>
        </w:rPr>
      </w:pPr>
      <w:r>
        <w:rPr>
          <w:sz w:val="28"/>
          <w:szCs w:val="28"/>
          <w:lang w:val="it-IT"/>
        </w:rPr>
        <w:t>7. Một học phần được phép miễn học theo diện bảo lưu kết quả điểm khi sinh viên đã có điểm tích lũy học phần tương đương trong thời gian học để lấy văn bằng thứ nhất của Trường. Số tín chỉ tích lũy của một học phần bảo lưu được tính theo số tín chỉ của học phần nằm trong chương trình đào tạo hiện thời.</w:t>
      </w:r>
    </w:p>
    <w:p w:rsidR="0006181B" w:rsidRDefault="0006181B" w:rsidP="0006181B">
      <w:pPr>
        <w:spacing w:before="120"/>
        <w:ind w:firstLine="567"/>
        <w:jc w:val="both"/>
        <w:rPr>
          <w:sz w:val="28"/>
          <w:szCs w:val="28"/>
          <w:lang w:val="it-IT"/>
        </w:rPr>
      </w:pPr>
      <w:r>
        <w:rPr>
          <w:sz w:val="28"/>
          <w:szCs w:val="28"/>
          <w:lang w:val="it-IT"/>
        </w:rPr>
        <w:t xml:space="preserve">Việc xem xét miễn học, bảo lưu kết quả đối với sinh viên thuộc diện chuyển trường do Hiệu trưởng quyết định sau khi tham khảo ý kiến của Trưởng </w:t>
      </w:r>
      <w:r>
        <w:rPr>
          <w:spacing w:val="8"/>
          <w:sz w:val="28"/>
          <w:szCs w:val="28"/>
          <w:lang w:val="it-IT"/>
        </w:rPr>
        <w:t>khoa/trung tâm và Trưởng phòng Đào tạo. Tổng số tín chỉ được xét bảo lưu ≤ 50% khối lượng kiến thức toàn khóa học</w:t>
      </w:r>
      <w:r>
        <w:rPr>
          <w:sz w:val="28"/>
          <w:szCs w:val="28"/>
          <w:lang w:val="it-IT"/>
        </w:rPr>
        <w:t>.</w:t>
      </w:r>
    </w:p>
    <w:p w:rsidR="0006181B" w:rsidRDefault="0006181B" w:rsidP="0006181B">
      <w:pPr>
        <w:spacing w:before="120"/>
        <w:ind w:firstLine="567"/>
        <w:jc w:val="both"/>
        <w:rPr>
          <w:sz w:val="28"/>
          <w:szCs w:val="28"/>
          <w:lang w:val="it-IT"/>
        </w:rPr>
      </w:pPr>
      <w:r>
        <w:rPr>
          <w:sz w:val="28"/>
          <w:szCs w:val="28"/>
          <w:lang w:val="it-IT"/>
        </w:rPr>
        <w:t>Các học phần chỉ được xem xét bảo lưu kết quả khi có thời lượng và nội dung giống nhau ít nhất 80%.</w:t>
      </w:r>
    </w:p>
    <w:p w:rsidR="0006181B" w:rsidRDefault="0006181B" w:rsidP="0006181B">
      <w:pPr>
        <w:spacing w:before="120"/>
        <w:ind w:firstLine="567"/>
        <w:jc w:val="both"/>
        <w:rPr>
          <w:sz w:val="28"/>
          <w:szCs w:val="28"/>
          <w:lang w:val="it-IT"/>
        </w:rPr>
      </w:pPr>
      <w:r>
        <w:rPr>
          <w:sz w:val="28"/>
          <w:szCs w:val="28"/>
          <w:lang w:val="it-IT"/>
        </w:rPr>
        <w:t>Thời gian bảo lưu các kết quả học tập của các học phần:</w:t>
      </w:r>
    </w:p>
    <w:p w:rsidR="0006181B" w:rsidRDefault="0006181B" w:rsidP="0006181B">
      <w:pPr>
        <w:spacing w:before="120"/>
        <w:ind w:firstLine="567"/>
        <w:jc w:val="both"/>
        <w:rPr>
          <w:sz w:val="28"/>
          <w:szCs w:val="28"/>
          <w:lang w:val="it-IT"/>
        </w:rPr>
      </w:pPr>
      <w:r>
        <w:rPr>
          <w:sz w:val="28"/>
          <w:szCs w:val="28"/>
          <w:lang w:val="it-IT"/>
        </w:rPr>
        <w:t>- Không quá 7 năm tính đến ngày xét đối với các học phần thuộc khối kiến thức giáo dục đại cương.</w:t>
      </w:r>
    </w:p>
    <w:p w:rsidR="0006181B" w:rsidRDefault="0006181B" w:rsidP="0006181B">
      <w:pPr>
        <w:spacing w:before="120"/>
        <w:ind w:firstLine="567"/>
        <w:jc w:val="both"/>
        <w:rPr>
          <w:sz w:val="28"/>
          <w:szCs w:val="28"/>
          <w:lang w:val="it-IT"/>
        </w:rPr>
      </w:pPr>
      <w:r>
        <w:rPr>
          <w:spacing w:val="-10"/>
          <w:sz w:val="28"/>
          <w:szCs w:val="28"/>
          <w:lang w:val="it-IT"/>
        </w:rPr>
        <w:t xml:space="preserve">- </w:t>
      </w:r>
      <w:r>
        <w:rPr>
          <w:sz w:val="28"/>
          <w:szCs w:val="28"/>
          <w:lang w:val="it-IT"/>
        </w:rPr>
        <w:t>Không quá 5 năm cho các học phần thuộc khối kiến thức giáo dục chuyên nghiệp.</w:t>
      </w:r>
    </w:p>
    <w:p w:rsidR="0006181B" w:rsidRDefault="0006181B" w:rsidP="0006181B">
      <w:pPr>
        <w:spacing w:before="120"/>
        <w:ind w:firstLine="567"/>
        <w:jc w:val="both"/>
        <w:rPr>
          <w:sz w:val="28"/>
          <w:szCs w:val="28"/>
          <w:lang w:val="it-IT"/>
        </w:rPr>
      </w:pPr>
      <w:r>
        <w:rPr>
          <w:sz w:val="28"/>
          <w:szCs w:val="28"/>
          <w:lang w:val="it-IT"/>
        </w:rPr>
        <w:t>Sinh viên đã có quyết định xóa tên do bỏ học, nghỉ học hoặc bị buộc thôi học nếu tham gia thi lại tuyển sinh và trúng tuyển vào hệ chính quy thì phải học lại toàn bộ chương trình đào tạo - không được xét miễn học phần trừ học phần đã được cấp các chứng chỉ riêng (giáo dục quốc phòng-an ninh).</w:t>
      </w:r>
    </w:p>
    <w:p w:rsidR="0044421E" w:rsidRDefault="0044421E">
      <w:bookmarkStart w:id="0" w:name="_GoBack"/>
      <w:bookmarkEnd w:id="0"/>
    </w:p>
    <w:sectPr w:rsidR="0044421E" w:rsidSect="007E6EB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1B"/>
    <w:rsid w:val="0006181B"/>
    <w:rsid w:val="0044421E"/>
    <w:rsid w:val="005877A8"/>
    <w:rsid w:val="007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7445">
      <w:bodyDiv w:val="1"/>
      <w:marLeft w:val="0"/>
      <w:marRight w:val="0"/>
      <w:marTop w:val="0"/>
      <w:marBottom w:val="0"/>
      <w:divBdr>
        <w:top w:val="none" w:sz="0" w:space="0" w:color="auto"/>
        <w:left w:val="none" w:sz="0" w:space="0" w:color="auto"/>
        <w:bottom w:val="none" w:sz="0" w:space="0" w:color="auto"/>
        <w:right w:val="none" w:sz="0" w:space="0" w:color="auto"/>
      </w:divBdr>
    </w:div>
    <w:div w:id="8099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Khatmau_sr</dc:creator>
  <cp:lastModifiedBy>Khatmau_sr</cp:lastModifiedBy>
  <cp:revision>2</cp:revision>
  <dcterms:created xsi:type="dcterms:W3CDTF">2015-01-27T14:23:00Z</dcterms:created>
  <dcterms:modified xsi:type="dcterms:W3CDTF">2015-01-27T14:23:00Z</dcterms:modified>
</cp:coreProperties>
</file>